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2026 7 vom 26. Januar 2026</w:t>
      </w:r>
    </w:p>
    <w:p>
      <w:r>
        <w:t>FR Kantonsgericht, 2026-01-26, FR</w:t>
      </w:r>
    </w:p>
    <w:p>
      <w:r>
        <w:rPr>
          <w:b/>
        </w:rPr>
        <w:t xml:space="preserve">Quelle: </w:t>
      </w:r>
      <w:r>
        <w:t>https://mcp.opencaselaw.ch/entscheid/fr_gerichte_502 2026 7</w:t>
      </w:r>
    </w:p>
    <w:p>
      <w:r>
        <w:t>FR: FR_GERICHTE 502 2026 7 du 26 janvier 2026</w:t>
      </w:r>
    </w:p>
    <w:p>
      <w:r>
        <w:t>IT: FR_GERICHTE 502 2026 7 del 26 gennaio 2026</w:t>
      </w:r>
    </w:p>
    <w:p>
      <w:pPr>
        <w:pStyle w:val="Heading2"/>
      </w:pPr>
      <w:r>
        <w:t>Erwägungen</w:t>
      </w:r>
    </w:p>
    <w:p>
      <w:r>
        <w:rPr>
          <w:b/>
        </w:rPr>
        <w:t>E. 4</w:t>
      </w:r>
    </w:p>
    <w:p>
      <w:r>
        <w:t>décembre 2025 p. 4 DO 2160 ; cf. ég. déclarations de A.________, PV du 4 novembre 2025 p. 16 DO 2147). Quant à la fille valaisanne mentionnée dans la requête de prolongation, il semble s’agir d’une certaine « H.________ » habitant à Sion. Selon le recourant, elle avait 17 ans (PV du 17 septembre 2025 p. 3 DO 2118). Le Ministère public invoque et le Tmc retient un risque de collusion : il faut empêcher que A.________ ne tente d’influencer les jeunes filles en question. Singulièrement toutefois, les victimes connues, soit C.________ et E.________, n’ont pas été entendues à ce jour alors que le recourant est en détention depuis quatre mois. Quoi qu’il en soit, A.________ a admis avoir entretenu des relations intimes avec ces jeunes filles et cela est, semble-t-il, documenté par des vidéos que la Chambre pénale n’a pas eu à disposition. S’agissant de « F.________ » et de la jeune fille de Lausanne, on ignore quelles démarches la police fait ou peut faire pour les identifier. Tout cela est quelque peu léger pour retenir le risque de collusion invoqué. Quant au risque qualifié de récidive, qui ne peut être retenu qu’en présence d’un danger sérieux et imminent de commission d’un crime grave du même genre (not. ATF 150 IV 360), il faut relever ce qui suit : A.________ a démontré son attirance pour des très jeunes filles, sexuellement mineures. Il a entretenu des relations intimes avec au moins deux jeunes filles dont il savait parfaitement qu’elles n’avaient pas 16 ans, sans que cela ne l’émeuve ni ne l’empêche de continuer à les fréquenter. Comme déjà relevé, le bien juridique à protéger est très important et il est juste que le Ministère public s’inquiète de savoir si de possibles futures victimes doivent être protégées, le comportement du recourant faisant craindre de façon inacceptablement élevée qu’il s’en prenne à nouveau sans scrupule à de très jeunes filles. L’avis d’un expert est nécessaire sur cette question. Mais le Ministère public ne peut s’en remettre à la seule disponibilité de celui-ci, le recourant étant privé de sa liberté. Le Ministère public en est du reste conscient (cf. son courriel du 17 octobre 2025 à l’expert, DO 4014). Il lui appartient de fixer à l’expert, qui a déjà entendu A.________, un délai pour qu’il se prononce d’ores et déjà sur le risque de récidive et sur les mesures de substitution envisageables.</w:t>
      </w:r>
    </w:p>
    <w:p>
      <w:r>
        <w:t>Tribunal cantonal TC Page 6 de 7 Le risque de récidive qualifié sur lequel doit se prononcer l’expert empêche que la détention provisoire de A.________ soit actuellement levée. Il n’y a pas en l’état matière à des mesures de substitution pour pallier ce risque. Quant à la durée de la détention provisoire, soit six mois, elle reste proportionnée compte tenu de la gravité des faits. La Chambre pénale ne fixera pas un délai plus court, étant au demeurant rappelé que le prévenu peut demander sa libération en tout temps. Il est toutefois attendu du Ministère public qu’il fasse diligence envers l’expert. Sur le vu de ce qui précède, la Chambre pénale décide de rejeter le recours et de confirmer la décision querellée. Le Ministère public doit toutefois être conscient que sauf éléments nouveaux substantiels, il ne pourra pas se prévaloir d’un risque de récidive si celui-ci n’est pas documenté par un avis de l’expert, qui dispose désormais de quelques semaines encore pour se prononcer sur ce point ; il ne pourra pas non plus invoquer un risque de collusion dans les conditions actuelles du dossier.</w:t>
      </w:r>
    </w:p>
    <w:p>
      <w:r>
        <w:rPr>
          <w:b/>
        </w:rPr>
        <w:t>E. 4.1</w:t>
      </w:r>
    </w:p>
    <w:p>
      <w:r>
        <w:t>A.________ sollicite l’assistance judiciaire pour la procédure de recours. Les conditions de l’assistance judiciaire, soit l’indigence, les chances de succès du recours et la nécessité de l’assistance d’un avocat (arrêt TC FR 502 2024 79 du 23 août 2024 consid. 3.1.2), sont remplies en l’occurrence. Il est fait droit à la requête, Me Violette Emery Borgeaud lui étant désignée comme avocate d’office pour la procédure de recours.</w:t>
      </w:r>
    </w:p>
    <w:p>
      <w:r>
        <w:rPr>
          <w:b/>
        </w:rPr>
        <w:t>E. 4.2</w:t>
      </w:r>
    </w:p>
    <w:p>
      <w:r>
        <w:t>La Chambre pénale arrête elle-même l’indemnité du défenseur d’office pour la procédure de recours selon l’art. 57 al. 1 et 2 du Règlement sur la justice (RJ, RSF 130.11 ; RFJ 2015 73). Me Violette Emery Borgeaud ne chiffre pas l’indemnité qu’elle réclame ; celle-ci sera arrêtée à CHF 800.-, débours compris mais TVA (8.1 %) par CHF 64.80 en sus (cf. art. 56 ss RJ).</w:t>
      </w:r>
    </w:p>
    <w:p>
      <w:r>
        <w:rPr>
          <w:b/>
        </w:rPr>
        <w:t>E. 4.3</w:t>
      </w:r>
    </w:p>
    <w:p>
      <w:r>
        <w:t>Au vu de l’issue du recours, les frais de la procédure de recours, arrêtés à CHF 1’464.80 (émolument : CHF 500.- ; débours : CHF 100.- ; frais de défense d’office : CHF 864.80), sont mis à la charge de A.________ (art. 428 al. 1 CPP). Le remboursement à l'Etat de l'indemnité allouée à la mandataire d’office ne sera exigible que lorsque la situation économique de A.________ le permettra. (dispositif en page suivante)</w:t>
      </w:r>
    </w:p>
    <w:p>
      <w:r>
        <w:t>Tribunal cantonal TC Page 7 de 7 la Chambre arrête : I. Le recours est rejeté. Partant, la décision du Tribunal des mesures de contrainte du 23 décembre 2025 est confirmée. II. Me Violette Emery Borgeaud est désignée avocate d’office de A.________ pour la procédure de recours. L'indemnité due pour la procédure de recours à Me Violette Emery Borgeaud en sa qualité d’avocate d’office est fixée à CHF 864.80, TVA par CHF 64.80 incluse. III. Les frais de la procédure de recours par CHF 1'464.80 (émolument : CHF 500.- ; débours : CHF 100.- ; frais de défense d’office : CHF 864.80)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janvier 2026/jde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